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513B5" w14:textId="77777777" w:rsidR="00154F91" w:rsidRDefault="00CB7B91">
      <w:pPr>
        <w:jc w:val="center"/>
      </w:pPr>
      <w:r>
        <w:rPr>
          <w:noProof/>
        </w:rPr>
        <w:drawing>
          <wp:inline distT="0" distB="0" distL="0" distR="0" wp14:anchorId="73E1A290" wp14:editId="63956964">
            <wp:extent cx="685800" cy="5204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 T Logo.png"/>
                    <pic:cNvPicPr/>
                  </pic:nvPicPr>
                  <pic:blipFill>
                    <a:blip r:embed="rId8"/>
                    <a:stretch>
                      <a:fillRect/>
                    </a:stretch>
                  </pic:blipFill>
                  <pic:spPr>
                    <a:xfrm>
                      <a:off x="0" y="0"/>
                      <a:ext cx="688011" cy="522107"/>
                    </a:xfrm>
                    <a:prstGeom prst="rect">
                      <a:avLst/>
                    </a:prstGeom>
                  </pic:spPr>
                </pic:pic>
              </a:graphicData>
            </a:graphic>
          </wp:inline>
        </w:drawing>
      </w:r>
    </w:p>
    <w:p w14:paraId="1DD8B5B8" w14:textId="0AFE1610" w:rsidR="00154F91" w:rsidRPr="00485753" w:rsidRDefault="00CB7B91" w:rsidP="00A95F88">
      <w:pPr>
        <w:jc w:val="center"/>
        <w:rPr>
          <w:rFonts w:asciiTheme="majorHAnsi" w:hAnsiTheme="majorHAnsi" w:cstheme="majorHAnsi"/>
        </w:rPr>
      </w:pPr>
      <w:r w:rsidRPr="00485753">
        <w:rPr>
          <w:rFonts w:asciiTheme="majorHAnsi" w:hAnsiTheme="majorHAnsi" w:cstheme="majorHAnsi"/>
          <w:b/>
          <w:sz w:val="28"/>
          <w:szCs w:val="28"/>
        </w:rPr>
        <w:t>ACE Tiverton</w:t>
      </w:r>
      <w:r w:rsidRPr="00485753">
        <w:rPr>
          <w:rFonts w:asciiTheme="majorHAnsi" w:hAnsiTheme="majorHAnsi" w:cstheme="majorHAnsi"/>
          <w:b/>
          <w:sz w:val="28"/>
          <w:szCs w:val="28"/>
        </w:rPr>
        <w:br/>
        <w:t>Pupil Premium Strategy Review Report</w:t>
      </w:r>
      <w:r w:rsidR="00193483">
        <w:rPr>
          <w:rFonts w:asciiTheme="majorHAnsi" w:hAnsiTheme="majorHAnsi" w:cstheme="majorHAnsi"/>
          <w:b/>
          <w:sz w:val="28"/>
          <w:szCs w:val="28"/>
        </w:rPr>
        <w:t xml:space="preserve"> </w:t>
      </w:r>
      <w:r w:rsidRPr="00485753">
        <w:rPr>
          <w:rFonts w:asciiTheme="majorHAnsi" w:hAnsiTheme="majorHAnsi" w:cstheme="majorHAnsi"/>
          <w:b/>
          <w:sz w:val="28"/>
          <w:szCs w:val="28"/>
        </w:rPr>
        <w:t>202</w:t>
      </w:r>
      <w:r w:rsidR="00A95F88" w:rsidRPr="00485753">
        <w:rPr>
          <w:rFonts w:asciiTheme="majorHAnsi" w:hAnsiTheme="majorHAnsi" w:cstheme="majorHAnsi"/>
          <w:b/>
          <w:sz w:val="28"/>
          <w:szCs w:val="28"/>
        </w:rPr>
        <w:t>5</w:t>
      </w:r>
      <w:r w:rsidRPr="00485753">
        <w:rPr>
          <w:rFonts w:asciiTheme="majorHAnsi" w:hAnsiTheme="majorHAnsi" w:cstheme="majorHAnsi"/>
          <w:b/>
          <w:sz w:val="28"/>
          <w:szCs w:val="28"/>
        </w:rPr>
        <w:t>-2</w:t>
      </w:r>
      <w:r w:rsidR="00A95F88" w:rsidRPr="00485753">
        <w:rPr>
          <w:rFonts w:asciiTheme="majorHAnsi" w:hAnsiTheme="majorHAnsi" w:cstheme="majorHAnsi"/>
          <w:b/>
          <w:sz w:val="28"/>
          <w:szCs w:val="28"/>
        </w:rPr>
        <w:t>6</w:t>
      </w:r>
    </w:p>
    <w:p w14:paraId="6CAEB1E5" w14:textId="27204401" w:rsidR="00154F91" w:rsidRPr="00A95F88" w:rsidRDefault="00CB7B91">
      <w:pPr>
        <w:rPr>
          <w:rFonts w:asciiTheme="majorHAnsi" w:hAnsiTheme="majorHAnsi" w:cstheme="majorHAnsi"/>
        </w:rPr>
      </w:pPr>
      <w:r w:rsidRPr="00A95F88">
        <w:rPr>
          <w:rFonts w:asciiTheme="majorHAnsi" w:hAnsiTheme="majorHAnsi" w:cstheme="majorHAnsi"/>
        </w:rPr>
        <w:t>The 202</w:t>
      </w:r>
      <w:r w:rsidR="00A95F88">
        <w:rPr>
          <w:rFonts w:asciiTheme="majorHAnsi" w:hAnsiTheme="majorHAnsi" w:cstheme="majorHAnsi"/>
        </w:rPr>
        <w:t>5</w:t>
      </w:r>
      <w:r w:rsidRPr="00A95F88">
        <w:rPr>
          <w:rFonts w:asciiTheme="majorHAnsi" w:hAnsiTheme="majorHAnsi" w:cstheme="majorHAnsi"/>
        </w:rPr>
        <w:t>-2</w:t>
      </w:r>
      <w:r w:rsidR="00A95F88">
        <w:rPr>
          <w:rFonts w:asciiTheme="majorHAnsi" w:hAnsiTheme="majorHAnsi" w:cstheme="majorHAnsi"/>
        </w:rPr>
        <w:t>6</w:t>
      </w:r>
      <w:r w:rsidRPr="00A95F88">
        <w:rPr>
          <w:rFonts w:asciiTheme="majorHAnsi" w:hAnsiTheme="majorHAnsi" w:cstheme="majorHAnsi"/>
        </w:rPr>
        <w:t xml:space="preserve"> Pupil Premium Strategy has had a positive impact on improving outcomes for disadvantaged pupils at ACE Tiverton. Funding has been used effectively to address key barriers relating to literacy, engagement with education, attendance, emotional regulation and preparation for adulthood. Evidence from school monitoring, progress data, attendance tracking and destination outcomes demonstrates that planned activities have contributed to improved educational experiences and increased levels of support for vulnerable learners.</w:t>
      </w:r>
    </w:p>
    <w:p w14:paraId="5DA14071" w14:textId="28DB6599" w:rsidR="00154F91" w:rsidRPr="00A95F88" w:rsidRDefault="00CB7B91" w:rsidP="00C657E8">
      <w:pPr>
        <w:pStyle w:val="Heading1"/>
        <w:spacing w:before="0"/>
        <w:rPr>
          <w:rFonts w:cstheme="majorHAnsi"/>
        </w:rPr>
      </w:pPr>
      <w:r w:rsidRPr="00A95F88">
        <w:rPr>
          <w:rFonts w:cstheme="majorHAnsi"/>
          <w:color w:val="auto"/>
        </w:rPr>
        <w:t>1. Teaching: CPD, Literacy and Recruitment Support</w:t>
      </w:r>
      <w:r w:rsidR="00C657E8">
        <w:rPr>
          <w:rFonts w:cstheme="majorHAnsi"/>
          <w:color w:val="auto"/>
        </w:rPr>
        <w:t xml:space="preserve">: </w:t>
      </w:r>
      <w:r w:rsidRPr="00A95F88">
        <w:rPr>
          <w:rFonts w:cstheme="majorHAnsi"/>
        </w:rPr>
        <w:t>Budget: £10,000</w:t>
      </w:r>
    </w:p>
    <w:p w14:paraId="0E320A51" w14:textId="77777777" w:rsidR="00154F91" w:rsidRPr="00A95F88" w:rsidRDefault="00CB7B91" w:rsidP="00C657E8">
      <w:pPr>
        <w:pStyle w:val="Heading2"/>
        <w:spacing w:before="0"/>
        <w:rPr>
          <w:rFonts w:cstheme="majorHAnsi"/>
          <w:color w:val="auto"/>
        </w:rPr>
      </w:pPr>
      <w:r w:rsidRPr="00A95F88">
        <w:rPr>
          <w:rFonts w:cstheme="majorHAnsi"/>
          <w:color w:val="auto"/>
        </w:rPr>
        <w:t>Literacy and Phonics Training (RWI Fresh Start)</w:t>
      </w:r>
    </w:p>
    <w:p w14:paraId="30C2820B" w14:textId="77777777" w:rsidR="00154F91" w:rsidRPr="00A95F88" w:rsidRDefault="00CB7B91" w:rsidP="00C657E8">
      <w:pPr>
        <w:spacing w:after="0"/>
        <w:rPr>
          <w:rFonts w:asciiTheme="majorHAnsi" w:hAnsiTheme="majorHAnsi" w:cstheme="majorHAnsi"/>
        </w:rPr>
      </w:pPr>
      <w:r w:rsidRPr="00A95F88">
        <w:rPr>
          <w:rFonts w:asciiTheme="majorHAnsi" w:hAnsiTheme="majorHAnsi" w:cstheme="majorHAnsi"/>
        </w:rPr>
        <w:t>Staff completed specialist literacy and phonics training focused on the Read Write Inc. Fresh Start programme. This strengthened teachers’ and support staff’s ability to identify literacy gaps and deliver targeted interventions for pupils with SEND and interrupted educational experiences.</w:t>
      </w:r>
    </w:p>
    <w:p w14:paraId="3103B7D0" w14:textId="4EB08815" w:rsidR="00154F91" w:rsidRPr="00A95F88" w:rsidRDefault="00CB7B91">
      <w:pPr>
        <w:pStyle w:val="ListBullet"/>
        <w:rPr>
          <w:rFonts w:asciiTheme="majorHAnsi" w:hAnsiTheme="majorHAnsi" w:cstheme="majorHAnsi"/>
        </w:rPr>
      </w:pPr>
      <w:r w:rsidRPr="00A95F88">
        <w:rPr>
          <w:rFonts w:asciiTheme="majorHAnsi" w:hAnsiTheme="majorHAnsi" w:cstheme="majorHAnsi"/>
        </w:rPr>
        <w:t>Consistent implementation of literacy strategies.</w:t>
      </w:r>
    </w:p>
    <w:p w14:paraId="76AF7BE7"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Improved staff confidence in teaching reading and phonics to older learners with significant literacy gaps.</w:t>
      </w:r>
    </w:p>
    <w:p w14:paraId="453148D9"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Increased engagement from pupils who previously struggled to access reading-based learning.</w:t>
      </w:r>
    </w:p>
    <w:p w14:paraId="0EC49775"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Targeted pupils demonstrated improved literacy skills, including reading accuracy, fluency and comprehension.</w:t>
      </w:r>
    </w:p>
    <w:p w14:paraId="26F32930"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Greater focus on literacy across the curriculum, supporting progress in a range of subjects.</w:t>
      </w:r>
    </w:p>
    <w:p w14:paraId="597FED6E" w14:textId="77777777" w:rsidR="00154F91" w:rsidRPr="00A95F88" w:rsidRDefault="00CB7B91" w:rsidP="00C657E8">
      <w:pPr>
        <w:spacing w:after="0"/>
        <w:rPr>
          <w:rFonts w:asciiTheme="majorHAnsi" w:hAnsiTheme="majorHAnsi" w:cstheme="majorHAnsi"/>
        </w:rPr>
      </w:pPr>
      <w:r w:rsidRPr="00A95F88">
        <w:rPr>
          <w:rFonts w:asciiTheme="majorHAnsi" w:hAnsiTheme="majorHAnsi" w:cstheme="majorHAnsi"/>
        </w:rPr>
        <w:t>Evaluation: The investment in literacy training and resources has strengthened teaching capacity and ensured that disadvantaged pupils receive more effective literacy support. This has contributed to progress towards reducing attainment differences between disadvantaged and non-disadvantaged pupils.</w:t>
      </w:r>
    </w:p>
    <w:p w14:paraId="5931E7C6" w14:textId="26354688" w:rsidR="00154F91" w:rsidRDefault="00CB7B91" w:rsidP="00C657E8">
      <w:pPr>
        <w:pStyle w:val="Heading1"/>
        <w:rPr>
          <w:rFonts w:cstheme="majorHAnsi"/>
        </w:rPr>
      </w:pPr>
      <w:r w:rsidRPr="00A95F88">
        <w:rPr>
          <w:rFonts w:cstheme="majorHAnsi"/>
          <w:color w:val="auto"/>
        </w:rPr>
        <w:t>2. Targeted Academic Support</w:t>
      </w:r>
      <w:r w:rsidR="00C657E8">
        <w:rPr>
          <w:rFonts w:cstheme="majorHAnsi"/>
          <w:color w:val="auto"/>
        </w:rPr>
        <w:t xml:space="preserve">: </w:t>
      </w:r>
      <w:r w:rsidRPr="00A95F88">
        <w:rPr>
          <w:rFonts w:cstheme="majorHAnsi"/>
        </w:rPr>
        <w:t>Budget: £10,000</w:t>
      </w:r>
    </w:p>
    <w:p w14:paraId="3E3E0C25" w14:textId="5EF4345D" w:rsidR="00966527" w:rsidRPr="00C657E8" w:rsidRDefault="00966527" w:rsidP="00C657E8">
      <w:pPr>
        <w:pStyle w:val="Heading2"/>
        <w:spacing w:before="0"/>
        <w:rPr>
          <w:rFonts w:cstheme="majorHAnsi"/>
          <w:color w:val="auto"/>
        </w:rPr>
      </w:pPr>
      <w:r w:rsidRPr="00C657E8">
        <w:rPr>
          <w:rFonts w:cstheme="majorHAnsi"/>
          <w:color w:val="auto"/>
        </w:rPr>
        <w:t>Maximising the Impact of TA’s</w:t>
      </w:r>
    </w:p>
    <w:p w14:paraId="6D64B01F" w14:textId="3E30495A" w:rsidR="00966527" w:rsidRPr="00966527" w:rsidRDefault="00966527" w:rsidP="00966527">
      <w:pPr>
        <w:rPr>
          <w:rFonts w:asciiTheme="majorHAnsi" w:hAnsiTheme="majorHAnsi" w:cstheme="majorHAnsi"/>
        </w:rPr>
      </w:pPr>
      <w:r w:rsidRPr="00966527">
        <w:rPr>
          <w:rFonts w:asciiTheme="majorHAnsi" w:hAnsiTheme="majorHAnsi" w:cstheme="majorHAnsi"/>
        </w:rPr>
        <w:t>The Teaching Assistant team were enabled within the school to provide more personalised support, intervention programmes and classroom assistance for disadvantaged pupils.</w:t>
      </w:r>
    </w:p>
    <w:p w14:paraId="4AC57672" w14:textId="77777777" w:rsidR="00966527" w:rsidRPr="00966527" w:rsidRDefault="00966527" w:rsidP="00966527">
      <w:pPr>
        <w:pStyle w:val="ListParagraph"/>
        <w:numPr>
          <w:ilvl w:val="0"/>
          <w:numId w:val="10"/>
        </w:numPr>
        <w:rPr>
          <w:rFonts w:asciiTheme="majorHAnsi" w:hAnsiTheme="majorHAnsi" w:cstheme="majorHAnsi"/>
        </w:rPr>
      </w:pPr>
      <w:r w:rsidRPr="00966527">
        <w:rPr>
          <w:rFonts w:asciiTheme="majorHAnsi" w:hAnsiTheme="majorHAnsi" w:cstheme="majorHAnsi"/>
        </w:rPr>
        <w:t>Increased opportunities for small-group and one-to-one intervention.</w:t>
      </w:r>
    </w:p>
    <w:p w14:paraId="145DBD85" w14:textId="77777777" w:rsidR="00966527" w:rsidRPr="00966527" w:rsidRDefault="00966527" w:rsidP="00966527">
      <w:pPr>
        <w:pStyle w:val="ListParagraph"/>
        <w:numPr>
          <w:ilvl w:val="0"/>
          <w:numId w:val="10"/>
        </w:numPr>
        <w:rPr>
          <w:rFonts w:asciiTheme="majorHAnsi" w:hAnsiTheme="majorHAnsi" w:cstheme="majorHAnsi"/>
        </w:rPr>
      </w:pPr>
      <w:r w:rsidRPr="00966527">
        <w:rPr>
          <w:rFonts w:asciiTheme="majorHAnsi" w:hAnsiTheme="majorHAnsi" w:cstheme="majorHAnsi"/>
        </w:rPr>
        <w:t>Better identification and monitoring of academic barriers.</w:t>
      </w:r>
    </w:p>
    <w:p w14:paraId="6B3C6371" w14:textId="77777777" w:rsidR="00966527" w:rsidRPr="00966527" w:rsidRDefault="00966527" w:rsidP="00966527">
      <w:pPr>
        <w:pStyle w:val="ListParagraph"/>
        <w:numPr>
          <w:ilvl w:val="0"/>
          <w:numId w:val="10"/>
        </w:numPr>
        <w:rPr>
          <w:rFonts w:asciiTheme="majorHAnsi" w:hAnsiTheme="majorHAnsi" w:cstheme="majorHAnsi"/>
        </w:rPr>
      </w:pPr>
      <w:r w:rsidRPr="00966527">
        <w:rPr>
          <w:rFonts w:asciiTheme="majorHAnsi" w:hAnsiTheme="majorHAnsi" w:cstheme="majorHAnsi"/>
        </w:rPr>
        <w:t>More rapid support for pupils who fall behind.</w:t>
      </w:r>
    </w:p>
    <w:p w14:paraId="06BFD4E0" w14:textId="77777777" w:rsidR="00966527" w:rsidRPr="00966527" w:rsidRDefault="00966527" w:rsidP="00966527">
      <w:pPr>
        <w:pStyle w:val="ListParagraph"/>
        <w:numPr>
          <w:ilvl w:val="0"/>
          <w:numId w:val="10"/>
        </w:numPr>
        <w:rPr>
          <w:rFonts w:asciiTheme="majorHAnsi" w:hAnsiTheme="majorHAnsi" w:cstheme="majorHAnsi"/>
        </w:rPr>
      </w:pPr>
      <w:r w:rsidRPr="00966527">
        <w:rPr>
          <w:rFonts w:asciiTheme="majorHAnsi" w:hAnsiTheme="majorHAnsi" w:cstheme="majorHAnsi"/>
        </w:rPr>
        <w:t>Improved engagement in lessons and access to the curriculum.</w:t>
      </w:r>
    </w:p>
    <w:p w14:paraId="08563B5E" w14:textId="77777777" w:rsidR="00966527" w:rsidRPr="00966527" w:rsidRDefault="00966527" w:rsidP="00966527">
      <w:pPr>
        <w:pStyle w:val="ListParagraph"/>
        <w:numPr>
          <w:ilvl w:val="0"/>
          <w:numId w:val="10"/>
        </w:numPr>
        <w:rPr>
          <w:rFonts w:asciiTheme="majorHAnsi" w:hAnsiTheme="majorHAnsi" w:cstheme="majorHAnsi"/>
        </w:rPr>
      </w:pPr>
      <w:r w:rsidRPr="00966527">
        <w:rPr>
          <w:rFonts w:asciiTheme="majorHAnsi" w:hAnsiTheme="majorHAnsi" w:cstheme="majorHAnsi"/>
        </w:rPr>
        <w:t>Enhanced support for pupils with complex SEND needs.</w:t>
      </w:r>
    </w:p>
    <w:p w14:paraId="1EE091EC" w14:textId="77777777" w:rsidR="00154F91" w:rsidRPr="00A95F88" w:rsidRDefault="00CB7B91">
      <w:pPr>
        <w:pStyle w:val="Heading2"/>
        <w:rPr>
          <w:rFonts w:cstheme="majorHAnsi"/>
          <w:color w:val="auto"/>
        </w:rPr>
      </w:pPr>
      <w:r w:rsidRPr="00A95F88">
        <w:rPr>
          <w:rFonts w:cstheme="majorHAnsi"/>
          <w:color w:val="auto"/>
        </w:rPr>
        <w:t>Embedding Formative Assessment (EFA)</w:t>
      </w:r>
    </w:p>
    <w:p w14:paraId="284ACA46" w14:textId="77777777" w:rsidR="00154F91" w:rsidRPr="00A95F88" w:rsidRDefault="00CB7B91" w:rsidP="00C657E8">
      <w:pPr>
        <w:spacing w:after="0"/>
        <w:rPr>
          <w:rFonts w:asciiTheme="majorHAnsi" w:hAnsiTheme="majorHAnsi" w:cstheme="majorHAnsi"/>
        </w:rPr>
      </w:pPr>
      <w:r w:rsidRPr="00A95F88">
        <w:rPr>
          <w:rFonts w:asciiTheme="majorHAnsi" w:hAnsiTheme="majorHAnsi" w:cstheme="majorHAnsi"/>
        </w:rPr>
        <w:t>Training on formative assessment has supported staff in using assessment information more effectively to adapt teaching and provide timely feedback.</w:t>
      </w:r>
    </w:p>
    <w:p w14:paraId="583EBA77"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Teachers are more responsive to individual learning needs.</w:t>
      </w:r>
    </w:p>
    <w:p w14:paraId="79845BAA"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Improved assessment for learning practices across the school.</w:t>
      </w:r>
    </w:p>
    <w:p w14:paraId="65BD934C"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Earlier identification of misconceptions and learning gaps.</w:t>
      </w:r>
    </w:p>
    <w:p w14:paraId="34C8C545"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Increased pupil awareness of their learning and next steps.</w:t>
      </w:r>
    </w:p>
    <w:p w14:paraId="1544A8CF"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lastRenderedPageBreak/>
        <w:t>Stronger progress monitoring of disadvantaged learners.</w:t>
      </w:r>
    </w:p>
    <w:p w14:paraId="060CBE48" w14:textId="77777777" w:rsidR="00154F91" w:rsidRPr="00A95F88" w:rsidRDefault="00CB7B91" w:rsidP="00C657E8">
      <w:pPr>
        <w:spacing w:after="0"/>
        <w:rPr>
          <w:rFonts w:asciiTheme="majorHAnsi" w:hAnsiTheme="majorHAnsi" w:cstheme="majorHAnsi"/>
        </w:rPr>
      </w:pPr>
      <w:r w:rsidRPr="00A95F88">
        <w:rPr>
          <w:rFonts w:asciiTheme="majorHAnsi" w:hAnsiTheme="majorHAnsi" w:cstheme="majorHAnsi"/>
        </w:rPr>
        <w:t>Evaluation: The combination of increased Teaching Assistant capacity and improved assessment practices has strengthened academic support for disadvantaged pupils. Pupils have benefited from more personalised learning pathways and timely intervention, leading to improved engagement, progress and access to qualifications.</w:t>
      </w:r>
    </w:p>
    <w:p w14:paraId="595D5134" w14:textId="10CE5CBA" w:rsidR="00154F91" w:rsidRPr="00A95F88" w:rsidRDefault="00CB7B91" w:rsidP="00C657E8">
      <w:pPr>
        <w:pStyle w:val="Heading1"/>
        <w:rPr>
          <w:rFonts w:cstheme="majorHAnsi"/>
        </w:rPr>
      </w:pPr>
      <w:r w:rsidRPr="00A95F88">
        <w:rPr>
          <w:rFonts w:cstheme="majorHAnsi"/>
          <w:color w:val="auto"/>
        </w:rPr>
        <w:t>3. Wider Strategies: Attendance, Behaviour and Wellbeing</w:t>
      </w:r>
      <w:r w:rsidR="00C657E8">
        <w:rPr>
          <w:rFonts w:cstheme="majorHAnsi"/>
          <w:color w:val="auto"/>
        </w:rPr>
        <w:t xml:space="preserve">: </w:t>
      </w:r>
      <w:r w:rsidRPr="00A95F88">
        <w:rPr>
          <w:rFonts w:cstheme="majorHAnsi"/>
        </w:rPr>
        <w:t>Budget: £24,330</w:t>
      </w:r>
    </w:p>
    <w:p w14:paraId="6C01207D" w14:textId="384FA531" w:rsidR="00154F91" w:rsidRPr="00A95F88" w:rsidRDefault="00CB7B91" w:rsidP="00C657E8">
      <w:pPr>
        <w:pStyle w:val="Heading2"/>
        <w:spacing w:before="0"/>
        <w:rPr>
          <w:rFonts w:cstheme="majorHAnsi"/>
          <w:color w:val="auto"/>
        </w:rPr>
      </w:pPr>
      <w:r w:rsidRPr="00A95F88">
        <w:rPr>
          <w:rFonts w:cstheme="majorHAnsi"/>
          <w:color w:val="auto"/>
        </w:rPr>
        <w:t>Student Support and Family Support Team</w:t>
      </w:r>
      <w:r w:rsidR="00C657E8">
        <w:rPr>
          <w:rFonts w:cstheme="majorHAnsi"/>
          <w:color w:val="auto"/>
        </w:rPr>
        <w:t xml:space="preserve">: </w:t>
      </w:r>
    </w:p>
    <w:p w14:paraId="02484B22" w14:textId="77777777" w:rsidR="00154F91" w:rsidRPr="00A95F88" w:rsidRDefault="00CB7B91" w:rsidP="00C657E8">
      <w:pPr>
        <w:spacing w:after="0"/>
        <w:rPr>
          <w:rFonts w:asciiTheme="majorHAnsi" w:hAnsiTheme="majorHAnsi" w:cstheme="majorHAnsi"/>
        </w:rPr>
      </w:pPr>
      <w:r w:rsidRPr="00A95F88">
        <w:rPr>
          <w:rFonts w:asciiTheme="majorHAnsi" w:hAnsiTheme="majorHAnsi" w:cstheme="majorHAnsi"/>
        </w:rPr>
        <w:t>The Student Support and Family Support Team has played a significant role in reducing barriers to attendance, improving emotional wellbeing and strengthening engagement with families.</w:t>
      </w:r>
    </w:p>
    <w:p w14:paraId="2A77043C"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Improved communication between home and school.</w:t>
      </w:r>
    </w:p>
    <w:p w14:paraId="32EA4412"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Increased support for pupils experiencing social, emotional and mental health difficulties.</w:t>
      </w:r>
    </w:p>
    <w:p w14:paraId="604241F3"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Better attendance monitoring and targeted intervention.</w:t>
      </w:r>
    </w:p>
    <w:p w14:paraId="68E8F831"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Reduced impact of adverse childhood experiences through coordinated support.</w:t>
      </w:r>
    </w:p>
    <w:p w14:paraId="4C8665BD"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Improved emotional regulation and readiness to learn for vulnerable pupils.</w:t>
      </w:r>
    </w:p>
    <w:p w14:paraId="5AF9D9C0" w14:textId="77777777" w:rsidR="00154F91" w:rsidRPr="00A95F88" w:rsidRDefault="00CB7B91">
      <w:pPr>
        <w:rPr>
          <w:rFonts w:asciiTheme="majorHAnsi" w:hAnsiTheme="majorHAnsi" w:cstheme="majorHAnsi"/>
        </w:rPr>
      </w:pPr>
      <w:r w:rsidRPr="00A95F88">
        <w:rPr>
          <w:rFonts w:asciiTheme="majorHAnsi" w:hAnsiTheme="majorHAnsi" w:cstheme="majorHAnsi"/>
        </w:rPr>
        <w:t>Evaluation: The targeted support provided to families and pupils has contributed to improved attendance and engagement. Pupils have benefited from a more consistent and supportive approach that addresses barriers beyond the classroom.</w:t>
      </w:r>
    </w:p>
    <w:p w14:paraId="3E238FA3" w14:textId="77777777" w:rsidR="00154F91" w:rsidRPr="00A95F88" w:rsidRDefault="00CB7B91" w:rsidP="00C657E8">
      <w:pPr>
        <w:pStyle w:val="Heading2"/>
        <w:spacing w:before="0"/>
        <w:rPr>
          <w:rFonts w:cstheme="majorHAnsi"/>
          <w:color w:val="auto"/>
        </w:rPr>
      </w:pPr>
      <w:r w:rsidRPr="00A95F88">
        <w:rPr>
          <w:rFonts w:cstheme="majorHAnsi"/>
          <w:color w:val="auto"/>
        </w:rPr>
        <w:t>Widening Participation and Preparation for Adulthood</w:t>
      </w:r>
    </w:p>
    <w:p w14:paraId="754A47D6" w14:textId="77777777" w:rsidR="00154F91" w:rsidRPr="00A95F88" w:rsidRDefault="00CB7B91" w:rsidP="00C657E8">
      <w:pPr>
        <w:spacing w:after="0"/>
        <w:rPr>
          <w:rFonts w:asciiTheme="majorHAnsi" w:hAnsiTheme="majorHAnsi" w:cstheme="majorHAnsi"/>
        </w:rPr>
      </w:pPr>
      <w:r w:rsidRPr="00A95F88">
        <w:rPr>
          <w:rFonts w:asciiTheme="majorHAnsi" w:hAnsiTheme="majorHAnsi" w:cstheme="majorHAnsi"/>
        </w:rPr>
        <w:t>Careers education, employer engagement, Skills Builder activities and the use of Accelerator+ have continued to strengthen preparation for adulthood and post-16 destinations.</w:t>
      </w:r>
    </w:p>
    <w:p w14:paraId="3DB2E4F6"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Increased participation in careers-related learning.</w:t>
      </w:r>
    </w:p>
    <w:p w14:paraId="130693E7"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Improved understanding of employment, training and further education pathways.</w:t>
      </w:r>
    </w:p>
    <w:p w14:paraId="7E64B2EC"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Enhanced development of essential employability skills.</w:t>
      </w:r>
    </w:p>
    <w:p w14:paraId="7830F5CD"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Greater confidence in making informed post-16 decisions.</w:t>
      </w:r>
    </w:p>
    <w:p w14:paraId="0952B33C"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Support for work experience and transition planning.</w:t>
      </w:r>
    </w:p>
    <w:p w14:paraId="44B2BEB7" w14:textId="77777777" w:rsidR="00154F91" w:rsidRPr="00A95F88" w:rsidRDefault="00CB7B91">
      <w:pPr>
        <w:pStyle w:val="ListBullet"/>
        <w:rPr>
          <w:rFonts w:asciiTheme="majorHAnsi" w:hAnsiTheme="majorHAnsi" w:cstheme="majorHAnsi"/>
        </w:rPr>
      </w:pPr>
      <w:r w:rsidRPr="00A95F88">
        <w:rPr>
          <w:rFonts w:asciiTheme="majorHAnsi" w:hAnsiTheme="majorHAnsi" w:cstheme="majorHAnsi"/>
        </w:rPr>
        <w:t>Strong post-16 destination outcomes for disadvantaged learners.</w:t>
      </w:r>
    </w:p>
    <w:p w14:paraId="184B5BFB" w14:textId="77777777" w:rsidR="00154F91" w:rsidRPr="00A95F88" w:rsidRDefault="00CB7B91" w:rsidP="00C657E8">
      <w:pPr>
        <w:rPr>
          <w:rFonts w:asciiTheme="majorHAnsi" w:hAnsiTheme="majorHAnsi" w:cstheme="majorHAnsi"/>
        </w:rPr>
      </w:pPr>
      <w:r w:rsidRPr="00A95F88">
        <w:rPr>
          <w:rFonts w:asciiTheme="majorHAnsi" w:hAnsiTheme="majorHAnsi" w:cstheme="majorHAnsi"/>
        </w:rPr>
        <w:t>Evaluation: This strand has been particularly successful in ensuring pupils are better prepared for adulthood and able to access suitable education, employment and training opportunities upon leaving ACE Tiverton.</w:t>
      </w:r>
    </w:p>
    <w:p w14:paraId="1E147C6F" w14:textId="77777777" w:rsidR="00154F91" w:rsidRPr="00A95F88" w:rsidRDefault="00CB7B91" w:rsidP="00C657E8">
      <w:pPr>
        <w:pStyle w:val="Heading1"/>
        <w:spacing w:before="0"/>
        <w:rPr>
          <w:rFonts w:cstheme="majorHAnsi"/>
          <w:color w:val="auto"/>
        </w:rPr>
      </w:pPr>
      <w:r w:rsidRPr="00A95F88">
        <w:rPr>
          <w:rFonts w:cstheme="majorHAnsi"/>
          <w:color w:val="auto"/>
        </w:rPr>
        <w:t>Overall Success Against Intended Outcomes</w:t>
      </w:r>
    </w:p>
    <w:tbl>
      <w:tblPr>
        <w:tblStyle w:val="TableGrid"/>
        <w:tblW w:w="0" w:type="auto"/>
        <w:tblLook w:val="04A0" w:firstRow="1" w:lastRow="0" w:firstColumn="1" w:lastColumn="0" w:noHBand="0" w:noVBand="1"/>
      </w:tblPr>
      <w:tblGrid>
        <w:gridCol w:w="4320"/>
        <w:gridCol w:w="6136"/>
      </w:tblGrid>
      <w:tr w:rsidR="00154F91" w:rsidRPr="00A95F88" w14:paraId="0E126FC4" w14:textId="77777777" w:rsidTr="00C657E8">
        <w:tc>
          <w:tcPr>
            <w:tcW w:w="4320" w:type="dxa"/>
            <w:shd w:val="clear" w:color="auto" w:fill="D9D9D9" w:themeFill="background1" w:themeFillShade="D9"/>
          </w:tcPr>
          <w:p w14:paraId="12F67669" w14:textId="77777777" w:rsidR="00154F91" w:rsidRPr="00A95F88" w:rsidRDefault="00CB7B91" w:rsidP="00A95F88">
            <w:pPr>
              <w:jc w:val="center"/>
              <w:rPr>
                <w:rFonts w:asciiTheme="majorHAnsi" w:hAnsiTheme="majorHAnsi" w:cstheme="majorHAnsi"/>
                <w:b/>
                <w:bCs/>
              </w:rPr>
            </w:pPr>
            <w:r w:rsidRPr="00A95F88">
              <w:rPr>
                <w:rFonts w:asciiTheme="majorHAnsi" w:hAnsiTheme="majorHAnsi" w:cstheme="majorHAnsi"/>
                <w:b/>
                <w:bCs/>
              </w:rPr>
              <w:t>Intended Outcome</w:t>
            </w:r>
          </w:p>
        </w:tc>
        <w:tc>
          <w:tcPr>
            <w:tcW w:w="6136" w:type="dxa"/>
            <w:shd w:val="clear" w:color="auto" w:fill="D9D9D9" w:themeFill="background1" w:themeFillShade="D9"/>
          </w:tcPr>
          <w:p w14:paraId="14294395" w14:textId="77777777" w:rsidR="00154F91" w:rsidRPr="00A95F88" w:rsidRDefault="00CB7B91" w:rsidP="00A95F88">
            <w:pPr>
              <w:jc w:val="center"/>
              <w:rPr>
                <w:rFonts w:asciiTheme="majorHAnsi" w:hAnsiTheme="majorHAnsi" w:cstheme="majorHAnsi"/>
                <w:b/>
                <w:bCs/>
              </w:rPr>
            </w:pPr>
            <w:r w:rsidRPr="00A95F88">
              <w:rPr>
                <w:rFonts w:asciiTheme="majorHAnsi" w:hAnsiTheme="majorHAnsi" w:cstheme="majorHAnsi"/>
                <w:b/>
                <w:bCs/>
              </w:rPr>
              <w:t>Evaluation</w:t>
            </w:r>
          </w:p>
        </w:tc>
      </w:tr>
      <w:tr w:rsidR="00154F91" w:rsidRPr="00A95F88" w14:paraId="2776EB36" w14:textId="77777777" w:rsidTr="00C657E8">
        <w:tc>
          <w:tcPr>
            <w:tcW w:w="4320" w:type="dxa"/>
          </w:tcPr>
          <w:p w14:paraId="7456745D" w14:textId="77777777" w:rsidR="00154F91" w:rsidRPr="00A95F88" w:rsidRDefault="00CB7B91">
            <w:pPr>
              <w:rPr>
                <w:rFonts w:asciiTheme="majorHAnsi" w:hAnsiTheme="majorHAnsi" w:cstheme="majorHAnsi"/>
              </w:rPr>
            </w:pPr>
            <w:r w:rsidRPr="00A95F88">
              <w:rPr>
                <w:rFonts w:asciiTheme="majorHAnsi" w:hAnsiTheme="majorHAnsi" w:cstheme="majorHAnsi"/>
              </w:rPr>
              <w:t>Improve literacy progress</w:t>
            </w:r>
          </w:p>
        </w:tc>
        <w:tc>
          <w:tcPr>
            <w:tcW w:w="6136" w:type="dxa"/>
          </w:tcPr>
          <w:p w14:paraId="33BAFC89" w14:textId="6160D112" w:rsidR="00154F91" w:rsidRPr="00A95F88" w:rsidRDefault="00CB7B91">
            <w:pPr>
              <w:rPr>
                <w:rFonts w:asciiTheme="majorHAnsi" w:hAnsiTheme="majorHAnsi" w:cstheme="majorHAnsi"/>
              </w:rPr>
            </w:pPr>
            <w:r w:rsidRPr="00A95F88">
              <w:rPr>
                <w:rFonts w:asciiTheme="majorHAnsi" w:hAnsiTheme="majorHAnsi" w:cstheme="majorHAnsi"/>
              </w:rPr>
              <w:t xml:space="preserve">Strong progress through RWI Fresh Start implementation and staff </w:t>
            </w:r>
            <w:commentRangeStart w:id="0"/>
            <w:commentRangeStart w:id="1"/>
            <w:r w:rsidRPr="00A95F88">
              <w:rPr>
                <w:rFonts w:asciiTheme="majorHAnsi" w:hAnsiTheme="majorHAnsi" w:cstheme="majorHAnsi"/>
              </w:rPr>
              <w:t>training</w:t>
            </w:r>
            <w:commentRangeEnd w:id="0"/>
            <w:r w:rsidR="004863AF" w:rsidRPr="00A95F88">
              <w:rPr>
                <w:rStyle w:val="CommentReference"/>
                <w:rFonts w:asciiTheme="majorHAnsi" w:hAnsiTheme="majorHAnsi" w:cstheme="majorHAnsi"/>
                <w:sz w:val="22"/>
                <w:szCs w:val="22"/>
              </w:rPr>
              <w:commentReference w:id="0"/>
            </w:r>
            <w:commentRangeEnd w:id="1"/>
            <w:r w:rsidR="002C21E6" w:rsidRPr="00A95F88">
              <w:rPr>
                <w:rStyle w:val="CommentReference"/>
                <w:rFonts w:asciiTheme="majorHAnsi" w:hAnsiTheme="majorHAnsi" w:cstheme="majorHAnsi"/>
                <w:sz w:val="22"/>
                <w:szCs w:val="22"/>
              </w:rPr>
              <w:commentReference w:id="1"/>
            </w:r>
            <w:r w:rsidRPr="00A95F88">
              <w:rPr>
                <w:rFonts w:asciiTheme="majorHAnsi" w:hAnsiTheme="majorHAnsi" w:cstheme="majorHAnsi"/>
              </w:rPr>
              <w:t>.</w:t>
            </w:r>
            <w:r w:rsidR="00455C88">
              <w:rPr>
                <w:rFonts w:asciiTheme="majorHAnsi" w:hAnsiTheme="majorHAnsi" w:cstheme="majorHAnsi"/>
              </w:rPr>
              <w:t xml:space="preserve"> PP students make 8.4 </w:t>
            </w:r>
            <w:r w:rsidR="0093537F">
              <w:rPr>
                <w:rFonts w:asciiTheme="majorHAnsi" w:hAnsiTheme="majorHAnsi" w:cstheme="majorHAnsi"/>
              </w:rPr>
              <w:t>months</w:t>
            </w:r>
            <w:r w:rsidR="00455C88">
              <w:rPr>
                <w:rFonts w:asciiTheme="majorHAnsi" w:hAnsiTheme="majorHAnsi" w:cstheme="majorHAnsi"/>
              </w:rPr>
              <w:t xml:space="preserve"> of progress compared to non-PP who made 9.2</w:t>
            </w:r>
            <w:r w:rsidR="0093537F">
              <w:rPr>
                <w:rFonts w:asciiTheme="majorHAnsi" w:hAnsiTheme="majorHAnsi" w:cstheme="majorHAnsi"/>
              </w:rPr>
              <w:t xml:space="preserve"> months of progress. Statistically this is not a significant difference</w:t>
            </w:r>
            <w:r w:rsidR="00D94450">
              <w:rPr>
                <w:rFonts w:asciiTheme="majorHAnsi" w:hAnsiTheme="majorHAnsi" w:cstheme="majorHAnsi"/>
              </w:rPr>
              <w:t xml:space="preserve"> between the progress being made by PP and non-pp students.</w:t>
            </w:r>
          </w:p>
        </w:tc>
      </w:tr>
      <w:tr w:rsidR="00154F91" w:rsidRPr="00A95F88" w14:paraId="432BB929" w14:textId="77777777" w:rsidTr="00C657E8">
        <w:tc>
          <w:tcPr>
            <w:tcW w:w="4320" w:type="dxa"/>
          </w:tcPr>
          <w:p w14:paraId="182A4F7C" w14:textId="77777777" w:rsidR="00154F91" w:rsidRPr="00A95F88" w:rsidRDefault="00CB7B91">
            <w:pPr>
              <w:rPr>
                <w:rFonts w:asciiTheme="majorHAnsi" w:hAnsiTheme="majorHAnsi" w:cstheme="majorHAnsi"/>
              </w:rPr>
            </w:pPr>
            <w:r w:rsidRPr="00A95F88">
              <w:rPr>
                <w:rFonts w:asciiTheme="majorHAnsi" w:hAnsiTheme="majorHAnsi" w:cstheme="majorHAnsi"/>
              </w:rPr>
              <w:t>Positive educational experiences</w:t>
            </w:r>
          </w:p>
        </w:tc>
        <w:tc>
          <w:tcPr>
            <w:tcW w:w="6136" w:type="dxa"/>
          </w:tcPr>
          <w:p w14:paraId="2A380BDC" w14:textId="77777777" w:rsidR="00154F91" w:rsidRPr="00A95F88" w:rsidRDefault="00CB7B91">
            <w:pPr>
              <w:rPr>
                <w:rFonts w:asciiTheme="majorHAnsi" w:hAnsiTheme="majorHAnsi" w:cstheme="majorHAnsi"/>
              </w:rPr>
            </w:pPr>
            <w:r w:rsidRPr="00A95F88">
              <w:rPr>
                <w:rFonts w:asciiTheme="majorHAnsi" w:hAnsiTheme="majorHAnsi" w:cstheme="majorHAnsi"/>
              </w:rPr>
              <w:t>Successfully achieved through personalised interventions and enhanced support structures.</w:t>
            </w:r>
          </w:p>
        </w:tc>
      </w:tr>
      <w:tr w:rsidR="00154F91" w:rsidRPr="00A95F88" w14:paraId="06F2F7B1" w14:textId="77777777" w:rsidTr="00C657E8">
        <w:tc>
          <w:tcPr>
            <w:tcW w:w="4320" w:type="dxa"/>
          </w:tcPr>
          <w:p w14:paraId="7F6B233F" w14:textId="77777777" w:rsidR="00154F91" w:rsidRPr="00A95F88" w:rsidRDefault="00CB7B91">
            <w:pPr>
              <w:rPr>
                <w:rFonts w:asciiTheme="majorHAnsi" w:hAnsiTheme="majorHAnsi" w:cstheme="majorHAnsi"/>
              </w:rPr>
            </w:pPr>
            <w:r w:rsidRPr="00A95F88">
              <w:rPr>
                <w:rFonts w:asciiTheme="majorHAnsi" w:hAnsiTheme="majorHAnsi" w:cstheme="majorHAnsi"/>
              </w:rPr>
              <w:t>Improve attendance and emotional regulation</w:t>
            </w:r>
          </w:p>
        </w:tc>
        <w:tc>
          <w:tcPr>
            <w:tcW w:w="6136" w:type="dxa"/>
          </w:tcPr>
          <w:p w14:paraId="4C34216C" w14:textId="7F7E06EE" w:rsidR="00154F91" w:rsidRPr="00A95F88" w:rsidRDefault="00CB7B91">
            <w:pPr>
              <w:rPr>
                <w:rFonts w:asciiTheme="majorHAnsi" w:hAnsiTheme="majorHAnsi" w:cstheme="majorHAnsi"/>
              </w:rPr>
            </w:pPr>
            <w:r w:rsidRPr="00A95F88">
              <w:rPr>
                <w:rFonts w:asciiTheme="majorHAnsi" w:hAnsiTheme="majorHAnsi" w:cstheme="majorHAnsi"/>
              </w:rPr>
              <w:t>Positive impact through Student Support and Family Support Team interventions.</w:t>
            </w:r>
            <w:r w:rsidR="00E04EB7">
              <w:rPr>
                <w:rFonts w:asciiTheme="majorHAnsi" w:hAnsiTheme="majorHAnsi" w:cstheme="majorHAnsi"/>
              </w:rPr>
              <w:t xml:space="preserve"> PP attendance for the year was 89.4% compared to 86.2% for non-PP students</w:t>
            </w:r>
            <w:r w:rsidR="009E5010">
              <w:rPr>
                <w:rFonts w:asciiTheme="majorHAnsi" w:hAnsiTheme="majorHAnsi" w:cstheme="majorHAnsi"/>
              </w:rPr>
              <w:t>. This was a significant improvement for PP students who included several EBSA students who are not attending school regularly and accessing their full education on site.</w:t>
            </w:r>
          </w:p>
        </w:tc>
      </w:tr>
      <w:tr w:rsidR="00154F91" w:rsidRPr="00A95F88" w14:paraId="42180B0A" w14:textId="77777777" w:rsidTr="00C657E8">
        <w:tc>
          <w:tcPr>
            <w:tcW w:w="4320" w:type="dxa"/>
          </w:tcPr>
          <w:p w14:paraId="3214F168" w14:textId="77777777" w:rsidR="00154F91" w:rsidRPr="00A95F88" w:rsidRDefault="00CB7B91">
            <w:pPr>
              <w:rPr>
                <w:rFonts w:asciiTheme="majorHAnsi" w:hAnsiTheme="majorHAnsi" w:cstheme="majorHAnsi"/>
              </w:rPr>
            </w:pPr>
            <w:r w:rsidRPr="00A95F88">
              <w:rPr>
                <w:rFonts w:asciiTheme="majorHAnsi" w:hAnsiTheme="majorHAnsi" w:cstheme="majorHAnsi"/>
              </w:rPr>
              <w:lastRenderedPageBreak/>
              <w:t>Preparation for adulthood</w:t>
            </w:r>
          </w:p>
        </w:tc>
        <w:tc>
          <w:tcPr>
            <w:tcW w:w="6136" w:type="dxa"/>
          </w:tcPr>
          <w:p w14:paraId="687DEDC8" w14:textId="77777777" w:rsidR="00154F91" w:rsidRPr="00A95F88" w:rsidRDefault="00CB7B91">
            <w:pPr>
              <w:rPr>
                <w:rFonts w:asciiTheme="majorHAnsi" w:hAnsiTheme="majorHAnsi" w:cstheme="majorHAnsi"/>
              </w:rPr>
            </w:pPr>
            <w:r w:rsidRPr="00A95F88">
              <w:rPr>
                <w:rFonts w:asciiTheme="majorHAnsi" w:hAnsiTheme="majorHAnsi" w:cstheme="majorHAnsi"/>
              </w:rPr>
              <w:t>Strong careers programme and Skills Builder integration supporting positive destinations.</w:t>
            </w:r>
          </w:p>
        </w:tc>
      </w:tr>
      <w:tr w:rsidR="00154F91" w:rsidRPr="00A95F88" w14:paraId="4ACCF272" w14:textId="77777777" w:rsidTr="00C657E8">
        <w:tc>
          <w:tcPr>
            <w:tcW w:w="4320" w:type="dxa"/>
          </w:tcPr>
          <w:p w14:paraId="2F6C625D" w14:textId="77777777" w:rsidR="00154F91" w:rsidRPr="00A95F88" w:rsidRDefault="00CB7B91">
            <w:pPr>
              <w:rPr>
                <w:rFonts w:asciiTheme="majorHAnsi" w:hAnsiTheme="majorHAnsi" w:cstheme="majorHAnsi"/>
              </w:rPr>
            </w:pPr>
            <w:r w:rsidRPr="00A95F88">
              <w:rPr>
                <w:rFonts w:asciiTheme="majorHAnsi" w:hAnsiTheme="majorHAnsi" w:cstheme="majorHAnsi"/>
              </w:rPr>
              <w:t>Access to enrichment opportunities</w:t>
            </w:r>
          </w:p>
        </w:tc>
        <w:tc>
          <w:tcPr>
            <w:tcW w:w="6136" w:type="dxa"/>
          </w:tcPr>
          <w:p w14:paraId="6C065A8E" w14:textId="77777777" w:rsidR="00154F91" w:rsidRPr="00A95F88" w:rsidRDefault="00CB7B91">
            <w:pPr>
              <w:rPr>
                <w:rFonts w:asciiTheme="majorHAnsi" w:hAnsiTheme="majorHAnsi" w:cstheme="majorHAnsi"/>
              </w:rPr>
            </w:pPr>
            <w:r w:rsidRPr="00A95F88">
              <w:rPr>
                <w:rFonts w:asciiTheme="majorHAnsi" w:hAnsiTheme="majorHAnsi" w:cstheme="majorHAnsi"/>
              </w:rPr>
              <w:t>Pupils benefited from wider participation, careers activities and personal development experiences.</w:t>
            </w:r>
          </w:p>
        </w:tc>
      </w:tr>
    </w:tbl>
    <w:p w14:paraId="337DD8CE" w14:textId="4E1B1075" w:rsidR="00154F91" w:rsidRPr="00A95F88" w:rsidRDefault="00CB7B91">
      <w:pPr>
        <w:pStyle w:val="Heading1"/>
        <w:rPr>
          <w:rFonts w:cstheme="majorHAnsi"/>
          <w:color w:val="auto"/>
        </w:rPr>
      </w:pPr>
      <w:r w:rsidRPr="00A95F88">
        <w:rPr>
          <w:rFonts w:cstheme="majorHAnsi"/>
          <w:color w:val="auto"/>
        </w:rPr>
        <w:t>Conclusion</w:t>
      </w:r>
    </w:p>
    <w:p w14:paraId="7DF3250F" w14:textId="77777777" w:rsidR="00154F91" w:rsidRPr="00A95F88" w:rsidRDefault="00CB7B91">
      <w:pPr>
        <w:rPr>
          <w:rFonts w:asciiTheme="majorHAnsi" w:hAnsiTheme="majorHAnsi" w:cstheme="majorHAnsi"/>
        </w:rPr>
      </w:pPr>
      <w:r w:rsidRPr="00A95F88">
        <w:rPr>
          <w:rFonts w:asciiTheme="majorHAnsi" w:hAnsiTheme="majorHAnsi" w:cstheme="majorHAnsi"/>
        </w:rPr>
        <w:t>The Pupil Premium funding has been used effectively to address the identified barriers faced by disadvantaged pupils at ACE Tiverton. Investment in staff training, literacy development, targeted intervention, family support and preparation for adulthood has resulted in improved engagement, stronger academic support, enhanced wellbeing provision and positive post-16 outcomes. The strategy has successfully contributed to narrowing barriers to learning and supporting disadvantaged pupils to make good progress academically, socially and personally.</w:t>
      </w:r>
    </w:p>
    <w:sectPr w:rsidR="00154F91" w:rsidRPr="00A95F88" w:rsidSect="00C657E8">
      <w:footerReference w:type="default" r:id="rId13"/>
      <w:pgSz w:w="12240" w:h="15840"/>
      <w:pgMar w:top="568" w:right="616" w:bottom="709" w:left="1134" w:header="720" w:footer="304"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Hannah Smart" w:date="2026-09-29T17:33:00Z" w:initials="HS">
    <w:p w14:paraId="18DD5E73" w14:textId="23FD2BFD" w:rsidR="004863AF" w:rsidRDefault="004863AF" w:rsidP="004863AF">
      <w:pPr>
        <w:pStyle w:val="CommentText"/>
      </w:pPr>
      <w:r>
        <w:rPr>
          <w:rStyle w:val="CommentReference"/>
        </w:rPr>
        <w:annotationRef/>
      </w:r>
      <w:r>
        <w:fldChar w:fldCharType="begin"/>
      </w:r>
      <w:r>
        <w:instrText>HYPERLINK "mailto:Rhys.Davies@transformingfutures.org.uk"</w:instrText>
      </w:r>
      <w:bookmarkStart w:id="2" w:name="_@_DB0628EC2E9F49828FFEF1B5AFFF11B7Z"/>
      <w:r>
        <w:fldChar w:fldCharType="separate"/>
      </w:r>
      <w:bookmarkEnd w:id="2"/>
      <w:r w:rsidRPr="004863AF">
        <w:rPr>
          <w:rStyle w:val="Mention"/>
          <w:noProof/>
        </w:rPr>
        <w:t>@Rhys Davies</w:t>
      </w:r>
      <w:r>
        <w:fldChar w:fldCharType="end"/>
      </w:r>
      <w:r>
        <w:t xml:space="preserve"> </w:t>
      </w:r>
    </w:p>
    <w:p w14:paraId="07A13A0F" w14:textId="77777777" w:rsidR="004863AF" w:rsidRDefault="004863AF" w:rsidP="004863AF">
      <w:pPr>
        <w:pStyle w:val="CommentText"/>
      </w:pPr>
      <w:r>
        <w:t xml:space="preserve">Love the report, it’s comprehensive, detailed and clear - thankyou. Please can we add some numbers or examples to the Success against intended outcomes - can we capture in number the increase in reading age? Can we identify attendance improvements from the Student Support investment? If we can add in something quantifiable here, it will avoid that being the feedback we get from governors. Thank you </w:t>
      </w:r>
    </w:p>
  </w:comment>
  <w:comment w:id="1" w:author="Rhys Davies" w:date="2026-09-30T08:58:00Z" w:initials="RD">
    <w:p w14:paraId="3A525FC1" w14:textId="7FD2D917" w:rsidR="002C21E6" w:rsidRDefault="002C21E6" w:rsidP="002C21E6">
      <w:pPr>
        <w:pStyle w:val="CommentText"/>
      </w:pPr>
      <w:r>
        <w:rPr>
          <w:rStyle w:val="CommentReference"/>
        </w:rPr>
        <w:annotationRef/>
      </w:r>
      <w:r>
        <w:fldChar w:fldCharType="begin"/>
      </w:r>
      <w:r>
        <w:instrText>HYPERLINK "mailto:Hannah.Smart@transformingfutures.org.uk"</w:instrText>
      </w:r>
      <w:bookmarkStart w:id="3" w:name="_@_3DA0765EBF314DA0A7384741818A57D2Z"/>
      <w:r>
        <w:fldChar w:fldCharType="separate"/>
      </w:r>
      <w:bookmarkEnd w:id="3"/>
      <w:r w:rsidRPr="002C21E6">
        <w:rPr>
          <w:rStyle w:val="Mention"/>
          <w:noProof/>
        </w:rPr>
        <w:t>@Hannah Smart</w:t>
      </w:r>
      <w:r>
        <w:fldChar w:fldCharType="end"/>
      </w:r>
      <w:r>
        <w:t xml:space="preserve"> all updated and ready to go.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A13A0F" w15:done="0"/>
  <w15:commentEx w15:paraId="3A525FC1" w15:paraIdParent="07A13A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E9B288" w16cex:dateUtc="2026-09-29T16:33:00Z">
    <w16cex:extLst>
      <w16:ext w16:uri="{CE6994B0-6A32-4C9F-8C6B-6E91EDA988CE}">
        <cr:reactions xmlns:cr="http://schemas.microsoft.com/office/comments/2020/reactions">
          <cr:reaction reactionType="1">
            <cr:reactionInfo dateUtc="2026-09-30T07:57:40Z">
              <cr:user userId="S::Rhys.Davies@transformingfutures.org.uk::824bbdde-cb32-4d6b-8c9b-3b5896183644" userProvider="AD" userName="Rhys Davies"/>
            </cr:reactionInfo>
          </cr:reaction>
        </cr:reactions>
      </w16:ext>
    </w16cex:extLst>
  </w16cex:commentExtensible>
  <w16cex:commentExtensible w16cex:durableId="5E7D6FB9" w16cex:dateUtc="2026-09-30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A13A0F" w16cid:durableId="32E9B288"/>
  <w16cid:commentId w16cid:paraId="3A525FC1" w16cid:durableId="5E7D6F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67A5" w14:textId="77777777" w:rsidR="00720A5A" w:rsidRDefault="00720A5A" w:rsidP="00C657E8">
      <w:pPr>
        <w:spacing w:after="0" w:line="240" w:lineRule="auto"/>
      </w:pPr>
      <w:r>
        <w:separator/>
      </w:r>
    </w:p>
  </w:endnote>
  <w:endnote w:type="continuationSeparator" w:id="0">
    <w:p w14:paraId="2A49BF59" w14:textId="77777777" w:rsidR="00720A5A" w:rsidRDefault="00720A5A" w:rsidP="00C65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431640"/>
      <w:docPartObj>
        <w:docPartGallery w:val="Page Numbers (Bottom of Page)"/>
        <w:docPartUnique/>
      </w:docPartObj>
    </w:sdtPr>
    <w:sdtEndPr/>
    <w:sdtContent>
      <w:p w14:paraId="46C9A27A" w14:textId="052EACF6" w:rsidR="00C657E8" w:rsidRDefault="00C657E8">
        <w:pPr>
          <w:pStyle w:val="Footer"/>
          <w:jc w:val="right"/>
        </w:pPr>
        <w:r>
          <w:fldChar w:fldCharType="begin"/>
        </w:r>
        <w:r>
          <w:instrText>PAGE   \* MERGEFORMAT</w:instrText>
        </w:r>
        <w:r>
          <w:fldChar w:fldCharType="separate"/>
        </w:r>
        <w:r>
          <w:rPr>
            <w:lang w:val="en-GB"/>
          </w:rPr>
          <w:t>2</w:t>
        </w:r>
        <w:r>
          <w:fldChar w:fldCharType="end"/>
        </w:r>
      </w:p>
    </w:sdtContent>
  </w:sdt>
  <w:p w14:paraId="5A59E833" w14:textId="77777777" w:rsidR="00C657E8" w:rsidRDefault="00C65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295C4" w14:textId="77777777" w:rsidR="00720A5A" w:rsidRDefault="00720A5A" w:rsidP="00C657E8">
      <w:pPr>
        <w:spacing w:after="0" w:line="240" w:lineRule="auto"/>
      </w:pPr>
      <w:r>
        <w:separator/>
      </w:r>
    </w:p>
  </w:footnote>
  <w:footnote w:type="continuationSeparator" w:id="0">
    <w:p w14:paraId="248D0882" w14:textId="77777777" w:rsidR="00720A5A" w:rsidRDefault="00720A5A" w:rsidP="00C657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7E0760E"/>
    <w:multiLevelType w:val="hybridMultilevel"/>
    <w:tmpl w:val="85103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9076320">
    <w:abstractNumId w:val="8"/>
  </w:num>
  <w:num w:numId="2" w16cid:durableId="582108144">
    <w:abstractNumId w:val="6"/>
  </w:num>
  <w:num w:numId="3" w16cid:durableId="2000183693">
    <w:abstractNumId w:val="5"/>
  </w:num>
  <w:num w:numId="4" w16cid:durableId="948050710">
    <w:abstractNumId w:val="4"/>
  </w:num>
  <w:num w:numId="5" w16cid:durableId="869607871">
    <w:abstractNumId w:val="7"/>
  </w:num>
  <w:num w:numId="6" w16cid:durableId="535503047">
    <w:abstractNumId w:val="3"/>
  </w:num>
  <w:num w:numId="7" w16cid:durableId="193007555">
    <w:abstractNumId w:val="2"/>
  </w:num>
  <w:num w:numId="8" w16cid:durableId="986083428">
    <w:abstractNumId w:val="1"/>
  </w:num>
  <w:num w:numId="9" w16cid:durableId="1496459940">
    <w:abstractNumId w:val="0"/>
  </w:num>
  <w:num w:numId="10" w16cid:durableId="57082123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h Smart">
    <w15:presenceInfo w15:providerId="AD" w15:userId="S::Hannah.Smart@transformingfutures.org.uk::f73a6574-46f5-4d80-951c-e9ef059505a7"/>
  </w15:person>
  <w15:person w15:author="Rhys Davies">
    <w15:presenceInfo w15:providerId="AD" w15:userId="S::Rhys.Davies@transformingfutures.org.uk::824bbdde-cb32-4d6b-8c9b-3b58961836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0B"/>
    <w:rsid w:val="00034616"/>
    <w:rsid w:val="0006063C"/>
    <w:rsid w:val="0015074B"/>
    <w:rsid w:val="00154F91"/>
    <w:rsid w:val="00193483"/>
    <w:rsid w:val="0029639D"/>
    <w:rsid w:val="002C21E6"/>
    <w:rsid w:val="00326F90"/>
    <w:rsid w:val="00455C88"/>
    <w:rsid w:val="00473567"/>
    <w:rsid w:val="00485753"/>
    <w:rsid w:val="004863AF"/>
    <w:rsid w:val="0056203B"/>
    <w:rsid w:val="00720A5A"/>
    <w:rsid w:val="0093537F"/>
    <w:rsid w:val="00966527"/>
    <w:rsid w:val="009E5010"/>
    <w:rsid w:val="00A95F88"/>
    <w:rsid w:val="00AA1D8D"/>
    <w:rsid w:val="00B47730"/>
    <w:rsid w:val="00C657E8"/>
    <w:rsid w:val="00CB0664"/>
    <w:rsid w:val="00CB7B91"/>
    <w:rsid w:val="00D25E69"/>
    <w:rsid w:val="00D94450"/>
    <w:rsid w:val="00E04EB7"/>
    <w:rsid w:val="00F5592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6F39A0"/>
  <w14:defaultImageDpi w14:val="300"/>
  <w15:docId w15:val="{3D3D9E25-876A-4581-9F61-125F735D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4863AF"/>
    <w:rPr>
      <w:sz w:val="16"/>
      <w:szCs w:val="16"/>
    </w:rPr>
  </w:style>
  <w:style w:type="paragraph" w:styleId="CommentText">
    <w:name w:val="annotation text"/>
    <w:basedOn w:val="Normal"/>
    <w:link w:val="CommentTextChar"/>
    <w:uiPriority w:val="99"/>
    <w:unhideWhenUsed/>
    <w:rsid w:val="004863AF"/>
    <w:pPr>
      <w:spacing w:line="240" w:lineRule="auto"/>
    </w:pPr>
    <w:rPr>
      <w:sz w:val="20"/>
      <w:szCs w:val="20"/>
    </w:rPr>
  </w:style>
  <w:style w:type="character" w:customStyle="1" w:styleId="CommentTextChar">
    <w:name w:val="Comment Text Char"/>
    <w:basedOn w:val="DefaultParagraphFont"/>
    <w:link w:val="CommentText"/>
    <w:uiPriority w:val="99"/>
    <w:rsid w:val="004863AF"/>
    <w:rPr>
      <w:sz w:val="20"/>
      <w:szCs w:val="20"/>
    </w:rPr>
  </w:style>
  <w:style w:type="paragraph" w:styleId="CommentSubject">
    <w:name w:val="annotation subject"/>
    <w:basedOn w:val="CommentText"/>
    <w:next w:val="CommentText"/>
    <w:link w:val="CommentSubjectChar"/>
    <w:uiPriority w:val="99"/>
    <w:semiHidden/>
    <w:unhideWhenUsed/>
    <w:rsid w:val="004863AF"/>
    <w:rPr>
      <w:b/>
      <w:bCs/>
    </w:rPr>
  </w:style>
  <w:style w:type="character" w:customStyle="1" w:styleId="CommentSubjectChar">
    <w:name w:val="Comment Subject Char"/>
    <w:basedOn w:val="CommentTextChar"/>
    <w:link w:val="CommentSubject"/>
    <w:uiPriority w:val="99"/>
    <w:semiHidden/>
    <w:rsid w:val="004863AF"/>
    <w:rPr>
      <w:b/>
      <w:bCs/>
      <w:sz w:val="20"/>
      <w:szCs w:val="20"/>
    </w:rPr>
  </w:style>
  <w:style w:type="character" w:styleId="Mention">
    <w:name w:val="Mention"/>
    <w:basedOn w:val="DefaultParagraphFont"/>
    <w:uiPriority w:val="99"/>
    <w:unhideWhenUsed/>
    <w:rsid w:val="004863A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19/05/relationships/documenttasks" Target="documenttasks/documenttask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980AE515-5AF8-46CC-BA5F-78099EAC03CD}">
    <t:Anchor>
      <t:Comment id="854176392"/>
    </t:Anchor>
    <t:History>
      <t:Event id="{821F9E7C-8CD9-4574-8606-620E3DF6F9BB}" time="2026-09-29T16:33:50.341Z">
        <t:Attribution userId="S::Hannah.Smart@transformingfutures.org.uk::f73a6574-46f5-4d80-951c-e9ef059505a7" userProvider="AD" userName="Hannah Smart"/>
        <t:Anchor>
          <t:Comment id="854176392"/>
        </t:Anchor>
        <t:Create/>
      </t:Event>
      <t:Event id="{719E9E76-8A16-4DA3-ADAD-DBD71AB4E6D6}" time="2026-09-29T16:33:50.341Z">
        <t:Attribution userId="S::Hannah.Smart@transformingfutures.org.uk::f73a6574-46f5-4d80-951c-e9ef059505a7" userProvider="AD" userName="Hannah Smart"/>
        <t:Anchor>
          <t:Comment id="854176392"/>
        </t:Anchor>
        <t:Assign userId="S::Rhys.Davies@transformingfutures.org.uk::824bbdde-cb32-4d6b-8c9b-3b5896183644" userProvider="AD" userName="Rhys Davies"/>
      </t:Event>
      <t:Event id="{20BAE7EE-9613-4727-BD3E-0E85E2D8051B}" time="2026-09-29T16:33:50.341Z">
        <t:Attribution userId="S::Hannah.Smart@transformingfutures.org.uk::f73a6574-46f5-4d80-951c-e9ef059505a7" userProvider="AD" userName="Hannah Smart"/>
        <t:Anchor>
          <t:Comment id="854176392"/>
        </t:Anchor>
        <t:SetTitle title="@Rhys Davies Love the report, it’s comprehensive, detailed and clear - thankyou. Please can we add some numbers or examples to the Success against intended outcomes - can we capture in number the increase in reading age? Can we identify attendanc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generated by python-docx</dc:description>
  <cp:lastModifiedBy>Rhys Davies</cp:lastModifiedBy>
  <cp:revision>10</cp:revision>
  <dcterms:created xsi:type="dcterms:W3CDTF">2026-09-29T16:31:00Z</dcterms:created>
  <dcterms:modified xsi:type="dcterms:W3CDTF">2026-09-30T07:58:00Z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2026-09-29T15:15:54Z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d08c0890-3ac1-43a0-90f8-8eb54a8fac27</vt:lpwstr>
  </property>
  <property fmtid="{D5CDD505-2E9C-101B-9397-08002B2CF9AE}" pid="8" name="MSIP_Label_9e4da867-5252-4bd3-9b0f-9d4dd1d5e926_ContentBits">
    <vt:lpwstr>0</vt:lpwstr>
  </property>
</Properties>
</file>